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EB28" w14:textId="0E8C7C1E" w:rsidR="003163F7" w:rsidRPr="005F799C" w:rsidRDefault="004A7922" w:rsidP="002773BF">
      <w:pPr>
        <w:jc w:val="center"/>
        <w:rPr>
          <w:rFonts w:ascii="Times New Roman" w:hAnsi="Times New Roman" w:cs="Times New Roman"/>
          <w:b/>
          <w:bCs/>
          <w:i/>
        </w:rPr>
      </w:pPr>
      <w:r w:rsidRPr="004A7922">
        <w:rPr>
          <w:rFonts w:ascii="Times New Roman" w:hAnsi="Times New Roman" w:cs="Times New Roman"/>
          <w:b/>
          <w:bCs/>
          <w:i/>
        </w:rPr>
        <w:t>Note: Wording in RED requires</w:t>
      </w:r>
      <w:r w:rsidRPr="004A7922">
        <w:rPr>
          <w:rFonts w:ascii="Times New Roman" w:hAnsi="Times New Roman" w:cs="Times New Roman"/>
          <w:b/>
          <w:bCs/>
        </w:rPr>
        <w:t xml:space="preserve"> </w:t>
      </w:r>
      <w:r w:rsidRPr="004A7922">
        <w:rPr>
          <w:rFonts w:ascii="Times New Roman" w:hAnsi="Times New Roman" w:cs="Times New Roman"/>
          <w:b/>
          <w:bCs/>
          <w:i/>
        </w:rPr>
        <w:t>deleting and tailoring to your specific requirement.</w:t>
      </w:r>
    </w:p>
    <w:p w14:paraId="63F94478" w14:textId="77777777" w:rsidR="002773BF" w:rsidRPr="002773BF" w:rsidRDefault="00577879" w:rsidP="0027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773BF">
        <w:rPr>
          <w:rFonts w:ascii="Times New Roman" w:hAnsi="Times New Roman" w:cs="Times New Roman"/>
          <w:b/>
          <w:bCs/>
        </w:rPr>
        <w:t>Background</w:t>
      </w:r>
    </w:p>
    <w:p w14:paraId="47F874D9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</w:rPr>
      </w:pPr>
    </w:p>
    <w:p w14:paraId="1C21F845" w14:textId="038016D9" w:rsidR="00577879" w:rsidRDefault="00577879" w:rsidP="002773BF">
      <w:pPr>
        <w:pStyle w:val="ListParagrap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2773BF">
        <w:rPr>
          <w:rFonts w:ascii="Times New Roman" w:hAnsi="Times New Roman" w:cs="Times New Roman"/>
          <w:color w:val="FF0000"/>
        </w:rPr>
        <w:t>Brief introduction of key considerations that inform the scope and approach of the project as it relates to</w:t>
      </w:r>
      <w:r w:rsidR="00DD70D2" w:rsidRPr="002773BF">
        <w:rPr>
          <w:rFonts w:ascii="Times New Roman" w:hAnsi="Times New Roman" w:cs="Times New Roman"/>
          <w:color w:val="FF0000"/>
        </w:rPr>
        <w:t xml:space="preserve"> </w:t>
      </w:r>
      <w:r w:rsidR="00E31289" w:rsidRPr="002773BF">
        <w:rPr>
          <w:rFonts w:ascii="Times New Roman" w:hAnsi="Times New Roman" w:cs="Times New Roman"/>
          <w:color w:val="FF0000"/>
        </w:rPr>
        <w:t>supporting</w:t>
      </w:r>
      <w:r w:rsidR="00DE3D49" w:rsidRPr="002773BF">
        <w:rPr>
          <w:rFonts w:ascii="Times New Roman" w:hAnsi="Times New Roman" w:cs="Times New Roman"/>
          <w:color w:val="FF0000"/>
        </w:rPr>
        <w:t xml:space="preserve"> </w:t>
      </w:r>
      <w:r w:rsidR="001569AA" w:rsidRPr="002773BF">
        <w:rPr>
          <w:rFonts w:ascii="Times New Roman" w:hAnsi="Times New Roman" w:cs="Times New Roman"/>
          <w:color w:val="FF0000"/>
        </w:rPr>
        <w:t>the Northeast States Collaborative on Interregional Transmission [Collaborative]</w:t>
      </w:r>
      <w:r w:rsidR="00DB6A82" w:rsidRPr="002773BF">
        <w:rPr>
          <w:rFonts w:ascii="Times New Roman" w:hAnsi="Times New Roman" w:cs="Times New Roman"/>
          <w:color w:val="FF0000"/>
        </w:rPr>
        <w:t xml:space="preserve"> on </w:t>
      </w:r>
      <w:r w:rsidR="00BF6249" w:rsidRPr="002773BF">
        <w:rPr>
          <w:rFonts w:ascii="Times New Roman" w:hAnsi="Times New Roman" w:cs="Times New Roman"/>
          <w:color w:val="FF0000"/>
        </w:rPr>
        <w:t>offshore wind transmission standardization</w:t>
      </w:r>
      <w:r w:rsidR="00711A74" w:rsidRPr="002773BF">
        <w:rPr>
          <w:rFonts w:ascii="Times New Roman" w:hAnsi="Times New Roman" w:cs="Times New Roman"/>
          <w:color w:val="FF0000"/>
        </w:rPr>
        <w:t xml:space="preserve"> and how they can be integrated into state offshore wind and transmission procurements</w:t>
      </w:r>
      <w:r w:rsidR="00711A74" w:rsidRPr="002773B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.</w:t>
      </w:r>
    </w:p>
    <w:p w14:paraId="02C78B68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FF0000"/>
        </w:rPr>
      </w:pPr>
    </w:p>
    <w:p w14:paraId="7B3F038E" w14:textId="77777777" w:rsidR="002773BF" w:rsidRPr="002773BF" w:rsidRDefault="00577879" w:rsidP="0027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</w:rPr>
      </w:pPr>
      <w:r w:rsidRPr="002773BF">
        <w:rPr>
          <w:rFonts w:ascii="Times New Roman" w:hAnsi="Times New Roman" w:cs="Times New Roman"/>
          <w:b/>
          <w:bCs/>
        </w:rPr>
        <w:t>Technical approach</w:t>
      </w:r>
    </w:p>
    <w:p w14:paraId="256D54C4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0070C0"/>
        </w:rPr>
      </w:pPr>
    </w:p>
    <w:p w14:paraId="14E1D094" w14:textId="3B785C17" w:rsidR="00577879" w:rsidRDefault="0026302D" w:rsidP="002773BF">
      <w:pPr>
        <w:pStyle w:val="ListParagrap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2773BF">
        <w:rPr>
          <w:rFonts w:ascii="Times New Roman" w:hAnsi="Times New Roman" w:cs="Times New Roman"/>
          <w:color w:val="FF0000"/>
        </w:rPr>
        <w:t>D</w:t>
      </w:r>
      <w:r w:rsidR="00577879" w:rsidRPr="002773BF">
        <w:rPr>
          <w:rFonts w:ascii="Times New Roman" w:hAnsi="Times New Roman" w:cs="Times New Roman"/>
          <w:color w:val="FF0000"/>
        </w:rPr>
        <w:t xml:space="preserve">escribe the approach and analysis to </w:t>
      </w:r>
      <w:r w:rsidR="00BC167E" w:rsidRPr="002773BF">
        <w:rPr>
          <w:rFonts w:ascii="Times New Roman" w:hAnsi="Times New Roman" w:cs="Times New Roman"/>
          <w:color w:val="FF0000"/>
        </w:rPr>
        <w:t>inform technical guidance and best practices for offshore wind transmission standardization approaches and how they can be integrated into state offshore wind and transmission procurements</w:t>
      </w:r>
      <w:r w:rsidR="00BC167E" w:rsidRPr="002773B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.</w:t>
      </w:r>
    </w:p>
    <w:p w14:paraId="5BF463DB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FF0000"/>
        </w:rPr>
      </w:pPr>
    </w:p>
    <w:p w14:paraId="5EAAFE87" w14:textId="77777777" w:rsidR="002773BF" w:rsidRPr="002773BF" w:rsidRDefault="00577879" w:rsidP="0027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</w:rPr>
      </w:pPr>
      <w:r w:rsidRPr="002773BF">
        <w:rPr>
          <w:rFonts w:ascii="Times New Roman" w:hAnsi="Times New Roman" w:cs="Times New Roman"/>
          <w:b/>
          <w:bCs/>
        </w:rPr>
        <w:t>Models, tools and methodologies</w:t>
      </w:r>
    </w:p>
    <w:p w14:paraId="5CA47404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0070C0"/>
        </w:rPr>
      </w:pPr>
    </w:p>
    <w:p w14:paraId="72A4CAEE" w14:textId="199E0824" w:rsidR="00577879" w:rsidRDefault="00577879" w:rsidP="002773BF">
      <w:pPr>
        <w:pStyle w:val="ListParagraph"/>
        <w:rPr>
          <w:rFonts w:ascii="Times New Roman" w:hAnsi="Times New Roman" w:cs="Times New Roman"/>
          <w:color w:val="FF0000"/>
        </w:rPr>
      </w:pPr>
      <w:r w:rsidRPr="002773BF">
        <w:rPr>
          <w:rFonts w:ascii="Times New Roman" w:hAnsi="Times New Roman" w:cs="Times New Roman"/>
          <w:color w:val="FF0000"/>
        </w:rPr>
        <w:t xml:space="preserve">Clearly describe the merits and relevance of proposed </w:t>
      </w:r>
      <w:r w:rsidR="003818AA" w:rsidRPr="002773BF">
        <w:rPr>
          <w:rFonts w:ascii="Times New Roman" w:hAnsi="Times New Roman" w:cs="Times New Roman"/>
          <w:color w:val="FF0000"/>
        </w:rPr>
        <w:t xml:space="preserve">technical assistance </w:t>
      </w:r>
      <w:r w:rsidR="00CE79C3" w:rsidRPr="002773BF">
        <w:rPr>
          <w:rFonts w:ascii="Times New Roman" w:hAnsi="Times New Roman" w:cs="Times New Roman"/>
          <w:color w:val="FF0000"/>
        </w:rPr>
        <w:t xml:space="preserve">resources and </w:t>
      </w:r>
      <w:r w:rsidRPr="002773BF">
        <w:rPr>
          <w:rFonts w:ascii="Times New Roman" w:hAnsi="Times New Roman" w:cs="Times New Roman"/>
          <w:color w:val="FF0000"/>
        </w:rPr>
        <w:t xml:space="preserve">approaches to </w:t>
      </w:r>
      <w:r w:rsidR="00E44688" w:rsidRPr="002773BF">
        <w:rPr>
          <w:rFonts w:ascii="Times New Roman" w:hAnsi="Times New Roman" w:cs="Times New Roman"/>
          <w:color w:val="FF0000"/>
        </w:rPr>
        <w:t>a cost-effective</w:t>
      </w:r>
      <w:r w:rsidR="00AD6C2B" w:rsidRPr="002773BF">
        <w:rPr>
          <w:rFonts w:ascii="Times New Roman" w:hAnsi="Times New Roman" w:cs="Times New Roman"/>
          <w:color w:val="FF0000"/>
        </w:rPr>
        <w:t xml:space="preserve"> project with a high probability of success</w:t>
      </w:r>
      <w:r w:rsidRPr="002773BF">
        <w:rPr>
          <w:rFonts w:ascii="Times New Roman" w:hAnsi="Times New Roman" w:cs="Times New Roman"/>
          <w:color w:val="FF0000"/>
        </w:rPr>
        <w:t xml:space="preserve">. Briefly describe past accomplishments using the tools and methodologies proposed. </w:t>
      </w:r>
    </w:p>
    <w:p w14:paraId="43552374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FF0000"/>
        </w:rPr>
      </w:pPr>
    </w:p>
    <w:p w14:paraId="2CF22DBE" w14:textId="77777777" w:rsidR="002773BF" w:rsidRPr="002773BF" w:rsidRDefault="00577879" w:rsidP="00277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</w:rPr>
      </w:pPr>
      <w:r w:rsidRPr="002773BF">
        <w:rPr>
          <w:rFonts w:ascii="Times New Roman" w:hAnsi="Times New Roman" w:cs="Times New Roman"/>
          <w:b/>
          <w:bCs/>
        </w:rPr>
        <w:t>Impact</w:t>
      </w:r>
    </w:p>
    <w:p w14:paraId="7CC8518F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0070C0"/>
        </w:rPr>
      </w:pPr>
    </w:p>
    <w:p w14:paraId="24D7DA16" w14:textId="7D7D608F" w:rsidR="002773BF" w:rsidRDefault="00577879" w:rsidP="002773BF">
      <w:pPr>
        <w:pStyle w:val="ListParagraph"/>
        <w:rPr>
          <w:rFonts w:ascii="Times New Roman" w:hAnsi="Times New Roman" w:cs="Times New Roman"/>
          <w:color w:val="FF0000"/>
        </w:rPr>
      </w:pPr>
      <w:r w:rsidRPr="002773BF">
        <w:rPr>
          <w:rFonts w:ascii="Times New Roman" w:hAnsi="Times New Roman" w:cs="Times New Roman"/>
          <w:color w:val="FF0000"/>
        </w:rPr>
        <w:t xml:space="preserve">Briefly describe how the proposed </w:t>
      </w:r>
      <w:r w:rsidR="00705A82" w:rsidRPr="002773BF">
        <w:rPr>
          <w:rFonts w:ascii="Times New Roman" w:hAnsi="Times New Roman" w:cs="Times New Roman"/>
          <w:color w:val="FF0000"/>
        </w:rPr>
        <w:t xml:space="preserve">research and </w:t>
      </w:r>
      <w:r w:rsidRPr="002773BF">
        <w:rPr>
          <w:rFonts w:ascii="Times New Roman" w:hAnsi="Times New Roman" w:cs="Times New Roman"/>
          <w:color w:val="FF0000"/>
        </w:rPr>
        <w:t>analysis</w:t>
      </w:r>
      <w:r w:rsidR="00CC1F15" w:rsidRPr="002773BF">
        <w:rPr>
          <w:rFonts w:ascii="Times New Roman" w:hAnsi="Times New Roman" w:cs="Times New Roman"/>
          <w:color w:val="FF0000"/>
        </w:rPr>
        <w:t xml:space="preserve"> on existing offshore wind solicitation landscape and offshore transmission requirements</w:t>
      </w:r>
      <w:r w:rsidRPr="002773BF">
        <w:rPr>
          <w:rFonts w:ascii="Times New Roman" w:hAnsi="Times New Roman" w:cs="Times New Roman"/>
          <w:color w:val="FF0000"/>
        </w:rPr>
        <w:t xml:space="preserve"> could inform recommendations to </w:t>
      </w:r>
      <w:r w:rsidR="00083E3D" w:rsidRPr="002773BF">
        <w:rPr>
          <w:rFonts w:ascii="Times New Roman" w:hAnsi="Times New Roman" w:cs="Times New Roman"/>
          <w:color w:val="FF0000"/>
        </w:rPr>
        <w:t>the Collaborative on technical guidance and best practices for offshore wind transmission standardization approaches and how they can be integrated into state offshore wind and transmission procurements</w:t>
      </w:r>
      <w:r w:rsidR="00964A42" w:rsidRPr="002773B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. Describe any support </w:t>
      </w:r>
      <w:r w:rsidR="00CE7095" w:rsidRPr="002773B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to effectively engage and deliver technical assistance to state energy offices, public utility commissions, and other participants in the Collaborative periodically regarding future offshore wind transmission procurement</w:t>
      </w:r>
      <w:r w:rsidR="00B27CEE" w:rsidRPr="002773B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.</w:t>
      </w:r>
    </w:p>
    <w:p w14:paraId="476A603F" w14:textId="77777777" w:rsidR="002773BF" w:rsidRPr="002773BF" w:rsidRDefault="002773BF" w:rsidP="002773BF">
      <w:pPr>
        <w:pStyle w:val="ListParagraph"/>
        <w:rPr>
          <w:rFonts w:ascii="Times New Roman" w:hAnsi="Times New Roman" w:cs="Times New Roman"/>
          <w:color w:val="FF0000"/>
        </w:rPr>
      </w:pPr>
    </w:p>
    <w:p w14:paraId="00C81E56" w14:textId="77777777" w:rsidR="002773BF" w:rsidRPr="002773BF" w:rsidRDefault="00577879" w:rsidP="002773B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0070C0"/>
        </w:rPr>
      </w:pPr>
      <w:r w:rsidRPr="002773BF">
        <w:rPr>
          <w:rFonts w:ascii="Times New Roman" w:hAnsi="Times New Roman" w:cs="Times New Roman"/>
          <w:b/>
          <w:bCs/>
        </w:rPr>
        <w:t>Qualifications of project team</w:t>
      </w:r>
    </w:p>
    <w:p w14:paraId="3364A0D5" w14:textId="77777777" w:rsidR="002773BF" w:rsidRPr="002773BF" w:rsidRDefault="002773BF" w:rsidP="002773BF">
      <w:pPr>
        <w:pStyle w:val="ListParagraph"/>
        <w:rPr>
          <w:rFonts w:ascii="Times New Roman" w:eastAsia="Calibri" w:hAnsi="Times New Roman" w:cs="Times New Roman"/>
          <w:color w:val="0070C0"/>
        </w:rPr>
      </w:pPr>
    </w:p>
    <w:p w14:paraId="0B853A76" w14:textId="3A16AEC1" w:rsidR="00577879" w:rsidRPr="002773BF" w:rsidRDefault="00931784" w:rsidP="005F799C">
      <w:pPr>
        <w:pStyle w:val="ListParagraph"/>
        <w:rPr>
          <w:rFonts w:ascii="Times New Roman" w:eastAsia="Calibri" w:hAnsi="Times New Roman" w:cs="Times New Roman"/>
          <w:color w:val="FF0000"/>
        </w:rPr>
      </w:pPr>
      <w:r w:rsidRPr="002773BF">
        <w:rPr>
          <w:rFonts w:ascii="Times New Roman" w:hAnsi="Times New Roman" w:cs="Times New Roman"/>
          <w:color w:val="FF0000"/>
        </w:rPr>
        <w:t>I</w:t>
      </w:r>
      <w:r w:rsidR="00577879" w:rsidRPr="002773BF">
        <w:rPr>
          <w:rFonts w:ascii="Times New Roman" w:hAnsi="Times New Roman" w:cs="Times New Roman"/>
          <w:color w:val="FF0000"/>
        </w:rPr>
        <w:t xml:space="preserve">dentify </w:t>
      </w:r>
      <w:r w:rsidR="00E61346" w:rsidRPr="002773BF">
        <w:rPr>
          <w:rFonts w:ascii="Times New Roman" w:hAnsi="Times New Roman" w:cs="Times New Roman"/>
          <w:color w:val="FF0000"/>
        </w:rPr>
        <w:t xml:space="preserve">key </w:t>
      </w:r>
      <w:r w:rsidR="004350EE" w:rsidRPr="002773BF">
        <w:rPr>
          <w:rFonts w:ascii="Times New Roman" w:hAnsi="Times New Roman" w:cs="Times New Roman"/>
          <w:color w:val="FF0000"/>
        </w:rPr>
        <w:t xml:space="preserve">entities and </w:t>
      </w:r>
      <w:r w:rsidR="00577879" w:rsidRPr="002773BF">
        <w:rPr>
          <w:rFonts w:ascii="Times New Roman" w:hAnsi="Times New Roman" w:cs="Times New Roman"/>
          <w:color w:val="FF0000"/>
        </w:rPr>
        <w:t>personnel</w:t>
      </w:r>
      <w:r w:rsidR="009B5A3D" w:rsidRPr="002773BF">
        <w:rPr>
          <w:rFonts w:ascii="Times New Roman" w:hAnsi="Times New Roman" w:cs="Times New Roman"/>
          <w:color w:val="FF0000"/>
        </w:rPr>
        <w:t>, including</w:t>
      </w:r>
      <w:r w:rsidR="00E61346" w:rsidRPr="002773BF">
        <w:rPr>
          <w:rFonts w:ascii="Times New Roman" w:hAnsi="Times New Roman" w:cs="Times New Roman"/>
          <w:color w:val="FF0000"/>
        </w:rPr>
        <w:t xml:space="preserve"> the</w:t>
      </w:r>
      <w:r w:rsidR="009B5A3D" w:rsidRPr="002773BF">
        <w:rPr>
          <w:rFonts w:ascii="Times New Roman" w:hAnsi="Times New Roman" w:cs="Times New Roman"/>
          <w:color w:val="FF0000"/>
        </w:rPr>
        <w:t xml:space="preserve"> lead performer,</w:t>
      </w:r>
      <w:r w:rsidR="00577879" w:rsidRPr="002773BF">
        <w:rPr>
          <w:rFonts w:ascii="Times New Roman" w:hAnsi="Times New Roman" w:cs="Times New Roman"/>
          <w:color w:val="FF0000"/>
        </w:rPr>
        <w:t xml:space="preserve"> participating in the project and describe their </w:t>
      </w:r>
      <w:r w:rsidR="00150284" w:rsidRPr="002773BF">
        <w:rPr>
          <w:rFonts w:ascii="Times New Roman" w:hAnsi="Times New Roman" w:cs="Times New Roman"/>
          <w:color w:val="FF0000"/>
        </w:rPr>
        <w:t xml:space="preserve">experience, </w:t>
      </w:r>
      <w:r w:rsidR="00577879" w:rsidRPr="002773BF">
        <w:rPr>
          <w:rFonts w:ascii="Times New Roman" w:hAnsi="Times New Roman" w:cs="Times New Roman"/>
          <w:color w:val="FF0000"/>
        </w:rPr>
        <w:t>capabilities, expertise, responsibilities, and relevant resources</w:t>
      </w:r>
      <w:r w:rsidR="009178AF" w:rsidRPr="002773BF">
        <w:rPr>
          <w:rFonts w:ascii="Times New Roman" w:hAnsi="Times New Roman" w:cs="Times New Roman"/>
          <w:color w:val="FF0000"/>
        </w:rPr>
        <w:t xml:space="preserve"> in transmission planning and design for offshore wind</w:t>
      </w:r>
      <w:r w:rsidR="00577879" w:rsidRPr="002773BF">
        <w:rPr>
          <w:rFonts w:ascii="Times New Roman" w:hAnsi="Times New Roman" w:cs="Times New Roman"/>
          <w:color w:val="FF0000"/>
        </w:rPr>
        <w:t xml:space="preserve">. Organization descriptions should reflect diversity of expertise within the project team and highlight ability to engage </w:t>
      </w:r>
      <w:r w:rsidR="00621F7E" w:rsidRPr="002773BF">
        <w:rPr>
          <w:rFonts w:ascii="Times New Roman" w:hAnsi="Times New Roman" w:cs="Times New Roman"/>
          <w:color w:val="FF0000"/>
        </w:rPr>
        <w:t xml:space="preserve">and provide technical assistance to </w:t>
      </w:r>
      <w:r w:rsidR="00A922B5" w:rsidRPr="002773BF">
        <w:rPr>
          <w:rFonts w:ascii="Times New Roman" w:hAnsi="Times New Roman" w:cs="Times New Roman"/>
          <w:color w:val="FF0000"/>
        </w:rPr>
        <w:t xml:space="preserve">states </w:t>
      </w:r>
      <w:r w:rsidR="00577879" w:rsidRPr="002773BF">
        <w:rPr>
          <w:rFonts w:ascii="Times New Roman" w:hAnsi="Times New Roman" w:cs="Times New Roman"/>
          <w:color w:val="FF0000"/>
        </w:rPr>
        <w:t xml:space="preserve">on topics related to </w:t>
      </w:r>
      <w:r w:rsidR="00FF7287" w:rsidRPr="002773BF">
        <w:rPr>
          <w:rFonts w:ascii="Times New Roman" w:hAnsi="Times New Roman" w:cs="Times New Roman"/>
          <w:color w:val="FF0000"/>
        </w:rPr>
        <w:t xml:space="preserve">transmission planning and </w:t>
      </w:r>
      <w:r w:rsidR="00A922B5" w:rsidRPr="002773BF">
        <w:rPr>
          <w:rFonts w:ascii="Times New Roman" w:hAnsi="Times New Roman" w:cs="Times New Roman"/>
          <w:color w:val="FF0000"/>
        </w:rPr>
        <w:t>offshore wind</w:t>
      </w:r>
      <w:r w:rsidR="4B0FEB8C" w:rsidRPr="002773BF">
        <w:rPr>
          <w:rFonts w:ascii="Times New Roman" w:hAnsi="Times New Roman" w:cs="Times New Roman"/>
          <w:color w:val="FF0000"/>
        </w:rPr>
        <w:t xml:space="preserve">. </w:t>
      </w:r>
      <w:r w:rsidR="4B0FEB8C" w:rsidRPr="002773BF">
        <w:rPr>
          <w:rFonts w:ascii="Times New Roman" w:eastAsia="Calibri" w:hAnsi="Times New Roman" w:cs="Times New Roman"/>
          <w:color w:val="FF0000"/>
        </w:rPr>
        <w:t>Qualifications of project team should include a demonstration of project team’s ability to successfully execute similar projects.</w:t>
      </w:r>
    </w:p>
    <w:sectPr w:rsidR="00577879" w:rsidRPr="002773B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E39B" w14:textId="77777777" w:rsidR="00040D80" w:rsidRDefault="00040D80" w:rsidP="004A7922">
      <w:pPr>
        <w:spacing w:after="0" w:line="240" w:lineRule="auto"/>
      </w:pPr>
      <w:r>
        <w:separator/>
      </w:r>
    </w:p>
  </w:endnote>
  <w:endnote w:type="continuationSeparator" w:id="0">
    <w:p w14:paraId="144827BA" w14:textId="77777777" w:rsidR="00040D80" w:rsidRDefault="00040D80" w:rsidP="004A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BD93" w14:textId="77777777" w:rsidR="00040D80" w:rsidRDefault="00040D80" w:rsidP="004A7922">
      <w:pPr>
        <w:spacing w:after="0" w:line="240" w:lineRule="auto"/>
      </w:pPr>
      <w:r>
        <w:separator/>
      </w:r>
    </w:p>
  </w:footnote>
  <w:footnote w:type="continuationSeparator" w:id="0">
    <w:p w14:paraId="3833E3F6" w14:textId="77777777" w:rsidR="00040D80" w:rsidRDefault="00040D80" w:rsidP="004A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CCBD" w14:textId="704AEFE6" w:rsidR="004A7922" w:rsidRPr="00F62EEC" w:rsidRDefault="005F799C" w:rsidP="004A7922">
    <w:pPr>
      <w:pStyle w:val="appendixlevel1"/>
      <w:spacing w:before="0" w:after="0"/>
      <w:contextualSpacing/>
      <w:jc w:val="center"/>
      <w:rPr>
        <w:color w:val="FF0000"/>
        <w:sz w:val="24"/>
        <w:szCs w:val="24"/>
        <w:u w:val="none"/>
      </w:rPr>
    </w:pPr>
    <w:r>
      <w:rPr>
        <w:color w:val="FF0000"/>
        <w:sz w:val="24"/>
        <w:szCs w:val="24"/>
        <w:u w:val="none"/>
      </w:rPr>
      <w:t>Company/Organization Name</w:t>
    </w:r>
  </w:p>
  <w:p w14:paraId="257014E2" w14:textId="4149E2FF" w:rsidR="005F799C" w:rsidRPr="009039B4" w:rsidRDefault="004A7922" w:rsidP="009039B4">
    <w:pPr>
      <w:pStyle w:val="appendixlevel1"/>
      <w:spacing w:before="0" w:after="0"/>
      <w:contextualSpacing/>
      <w:jc w:val="center"/>
      <w:rPr>
        <w:color w:val="FF0000"/>
        <w:sz w:val="24"/>
        <w:szCs w:val="24"/>
        <w:u w:val="none"/>
      </w:rPr>
    </w:pPr>
    <w:r w:rsidRPr="00F62EEC">
      <w:rPr>
        <w:color w:val="FF0000"/>
        <w:sz w:val="24"/>
        <w:szCs w:val="24"/>
        <w:u w:val="none"/>
      </w:rPr>
      <w:t>Project Title</w:t>
    </w:r>
  </w:p>
  <w:p w14:paraId="3D6FB7B7" w14:textId="4A961605" w:rsidR="005F799C" w:rsidRPr="009039B4" w:rsidRDefault="004A7922" w:rsidP="009039B4">
    <w:pPr>
      <w:pStyle w:val="appendixlevel1"/>
      <w:spacing w:before="0" w:after="0"/>
      <w:contextualSpacing/>
      <w:jc w:val="center"/>
      <w:rPr>
        <w:sz w:val="24"/>
        <w:szCs w:val="24"/>
        <w:u w:val="none"/>
      </w:rPr>
    </w:pPr>
    <w:r w:rsidRPr="005F799C">
      <w:rPr>
        <w:sz w:val="24"/>
        <w:szCs w:val="24"/>
        <w:u w:val="none"/>
      </w:rPr>
      <w:t>Opportunity: PO-CWX-004-GDO: OSW Transmission Standardization Consortia</w:t>
    </w:r>
  </w:p>
  <w:p w14:paraId="24A2D76F" w14:textId="618E7F0F" w:rsidR="002773BF" w:rsidRPr="005F799C" w:rsidRDefault="002773BF" w:rsidP="004A7922">
    <w:pPr>
      <w:pStyle w:val="appendixlevel1"/>
      <w:spacing w:before="0" w:after="0"/>
      <w:contextualSpacing/>
      <w:jc w:val="center"/>
      <w:rPr>
        <w:bCs/>
        <w:sz w:val="24"/>
        <w:szCs w:val="24"/>
        <w:u w:val="none"/>
      </w:rPr>
    </w:pPr>
    <w:r w:rsidRPr="005F799C">
      <w:rPr>
        <w:sz w:val="24"/>
        <w:szCs w:val="24"/>
        <w:u w:val="none"/>
      </w:rPr>
      <w:t xml:space="preserve">Project </w:t>
    </w:r>
    <w:r w:rsidR="005F799C" w:rsidRPr="005F799C">
      <w:rPr>
        <w:sz w:val="24"/>
        <w:szCs w:val="24"/>
        <w:u w:val="none"/>
      </w:rPr>
      <w:t>Description and Narrative</w:t>
    </w:r>
  </w:p>
  <w:p w14:paraId="129794E6" w14:textId="77777777" w:rsidR="004A7922" w:rsidRDefault="004A7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7CB"/>
    <w:multiLevelType w:val="hybridMultilevel"/>
    <w:tmpl w:val="F99C78D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968E4"/>
    <w:multiLevelType w:val="hybridMultilevel"/>
    <w:tmpl w:val="9700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11762">
    <w:abstractNumId w:val="1"/>
  </w:num>
  <w:num w:numId="2" w16cid:durableId="10471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79"/>
    <w:rsid w:val="00001753"/>
    <w:rsid w:val="00004767"/>
    <w:rsid w:val="00040D80"/>
    <w:rsid w:val="00083E3D"/>
    <w:rsid w:val="000A248D"/>
    <w:rsid w:val="000B578A"/>
    <w:rsid w:val="000E6200"/>
    <w:rsid w:val="000F020E"/>
    <w:rsid w:val="000F62B9"/>
    <w:rsid w:val="001500FF"/>
    <w:rsid w:val="00150284"/>
    <w:rsid w:val="001569AA"/>
    <w:rsid w:val="001C27B7"/>
    <w:rsid w:val="001C65CA"/>
    <w:rsid w:val="002326DF"/>
    <w:rsid w:val="0025739B"/>
    <w:rsid w:val="0026302D"/>
    <w:rsid w:val="002773BF"/>
    <w:rsid w:val="002B1FE3"/>
    <w:rsid w:val="002B4F1A"/>
    <w:rsid w:val="003163F7"/>
    <w:rsid w:val="00350EF1"/>
    <w:rsid w:val="003818AA"/>
    <w:rsid w:val="004350EE"/>
    <w:rsid w:val="00472E42"/>
    <w:rsid w:val="004A7922"/>
    <w:rsid w:val="004B7911"/>
    <w:rsid w:val="0055474E"/>
    <w:rsid w:val="00575BD8"/>
    <w:rsid w:val="00577879"/>
    <w:rsid w:val="005D0BEE"/>
    <w:rsid w:val="005F799C"/>
    <w:rsid w:val="00621F7E"/>
    <w:rsid w:val="0063152A"/>
    <w:rsid w:val="00645B06"/>
    <w:rsid w:val="006C39C9"/>
    <w:rsid w:val="00705A82"/>
    <w:rsid w:val="00711A74"/>
    <w:rsid w:val="00717060"/>
    <w:rsid w:val="00805407"/>
    <w:rsid w:val="008126C1"/>
    <w:rsid w:val="00890A88"/>
    <w:rsid w:val="00891217"/>
    <w:rsid w:val="008F04B0"/>
    <w:rsid w:val="009039B4"/>
    <w:rsid w:val="009178AF"/>
    <w:rsid w:val="00931784"/>
    <w:rsid w:val="00964A42"/>
    <w:rsid w:val="00991EDB"/>
    <w:rsid w:val="00997600"/>
    <w:rsid w:val="009B5A3D"/>
    <w:rsid w:val="009D784F"/>
    <w:rsid w:val="00A13FD1"/>
    <w:rsid w:val="00A5721C"/>
    <w:rsid w:val="00A577E4"/>
    <w:rsid w:val="00A922B5"/>
    <w:rsid w:val="00AC03C5"/>
    <w:rsid w:val="00AC6763"/>
    <w:rsid w:val="00AD6C2B"/>
    <w:rsid w:val="00AE5202"/>
    <w:rsid w:val="00B27CEE"/>
    <w:rsid w:val="00B62822"/>
    <w:rsid w:val="00B966B7"/>
    <w:rsid w:val="00BC167E"/>
    <w:rsid w:val="00BE1F79"/>
    <w:rsid w:val="00BF6249"/>
    <w:rsid w:val="00C31ADD"/>
    <w:rsid w:val="00C702B9"/>
    <w:rsid w:val="00CC1F15"/>
    <w:rsid w:val="00CE7095"/>
    <w:rsid w:val="00CE79C3"/>
    <w:rsid w:val="00D41E51"/>
    <w:rsid w:val="00D62629"/>
    <w:rsid w:val="00D7236B"/>
    <w:rsid w:val="00D86375"/>
    <w:rsid w:val="00DA0118"/>
    <w:rsid w:val="00DB6A82"/>
    <w:rsid w:val="00DD4288"/>
    <w:rsid w:val="00DD70D2"/>
    <w:rsid w:val="00DE3D49"/>
    <w:rsid w:val="00E31289"/>
    <w:rsid w:val="00E44688"/>
    <w:rsid w:val="00E61346"/>
    <w:rsid w:val="00EB0789"/>
    <w:rsid w:val="00EB2F89"/>
    <w:rsid w:val="00F36F0C"/>
    <w:rsid w:val="00F725AF"/>
    <w:rsid w:val="00F86E37"/>
    <w:rsid w:val="00FA78C1"/>
    <w:rsid w:val="00FF4215"/>
    <w:rsid w:val="00FF7287"/>
    <w:rsid w:val="04378FD7"/>
    <w:rsid w:val="0E8709CA"/>
    <w:rsid w:val="13FFC5D4"/>
    <w:rsid w:val="1A2978F1"/>
    <w:rsid w:val="3487ADCE"/>
    <w:rsid w:val="4B0FEB8C"/>
    <w:rsid w:val="4C685803"/>
    <w:rsid w:val="4C91D561"/>
    <w:rsid w:val="50D1D882"/>
    <w:rsid w:val="571C4CB0"/>
    <w:rsid w:val="638A026F"/>
    <w:rsid w:val="6FA40310"/>
    <w:rsid w:val="7858B15A"/>
    <w:rsid w:val="79F4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461C"/>
  <w15:chartTrackingRefBased/>
  <w15:docId w15:val="{C178F723-D0AC-4CF4-AC72-78688FE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39B"/>
    <w:pPr>
      <w:spacing w:after="0" w:line="240" w:lineRule="auto"/>
    </w:pPr>
  </w:style>
  <w:style w:type="table" w:styleId="TableGrid">
    <w:name w:val="Table Grid"/>
    <w:basedOn w:val="TableNormal"/>
    <w:uiPriority w:val="59"/>
    <w:rsid w:val="00C31A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22"/>
  </w:style>
  <w:style w:type="paragraph" w:styleId="Footer">
    <w:name w:val="footer"/>
    <w:basedOn w:val="Normal"/>
    <w:link w:val="FooterChar"/>
    <w:uiPriority w:val="99"/>
    <w:unhideWhenUsed/>
    <w:rsid w:val="004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22"/>
  </w:style>
  <w:style w:type="paragraph" w:customStyle="1" w:styleId="appendixlevel1">
    <w:name w:val="appendix level 1"/>
    <w:basedOn w:val="Normal"/>
    <w:qFormat/>
    <w:rsid w:val="004A7922"/>
    <w:pPr>
      <w:spacing w:before="120" w:after="60" w:line="240" w:lineRule="auto"/>
    </w:pPr>
    <w:rPr>
      <w:rFonts w:ascii="Times New Roman" w:eastAsia="Calibri" w:hAnsi="Times New Roman" w:cs="Times New Roman"/>
      <w:b/>
      <w:kern w:val="0"/>
      <w:sz w:val="20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27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c9395-e2eb-47d3-a941-2b1dc42207fc">
      <Terms xmlns="http://schemas.microsoft.com/office/infopath/2007/PartnerControls"/>
    </lcf76f155ced4ddcb4097134ff3c332f>
    <TaxCatchAll xmlns="75b13d30-2fa9-46d5-9925-ce502a8bfb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4636E6EC7F642BAD62723572F011B" ma:contentTypeVersion="14" ma:contentTypeDescription="Create a new document." ma:contentTypeScope="" ma:versionID="095c59e07c0cc6b4963ea6271ecacaa3">
  <xsd:schema xmlns:xsd="http://www.w3.org/2001/XMLSchema" xmlns:xs="http://www.w3.org/2001/XMLSchema" xmlns:p="http://schemas.microsoft.com/office/2006/metadata/properties" xmlns:ns2="3abc9395-e2eb-47d3-a941-2b1dc42207fc" xmlns:ns3="75b13d30-2fa9-46d5-9925-ce502a8bfb17" targetNamespace="http://schemas.microsoft.com/office/2006/metadata/properties" ma:root="true" ma:fieldsID="e8851dc062a31ef9d99d947f754cadca" ns2:_="" ns3:_="">
    <xsd:import namespace="3abc9395-e2eb-47d3-a941-2b1dc42207fc"/>
    <xsd:import namespace="75b13d30-2fa9-46d5-9925-ce502a8bf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c9395-e2eb-47d3-a941-2b1dc4220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3d30-2fa9-46d5-9925-ce502a8b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d9f572-01f9-43ac-bfc6-c2f165910fd9}" ma:internalName="TaxCatchAll" ma:showField="CatchAllData" ma:web="75b13d30-2fa9-46d5-9925-ce502a8bf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1A464-E146-473C-A117-DB46F56FC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FADFB-FE88-49A7-A3D9-CE42521C5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241D-967B-4A6F-B643-95A1E92E036D}">
  <ds:schemaRefs>
    <ds:schemaRef ds:uri="http://schemas.microsoft.com/office/2006/metadata/properties"/>
    <ds:schemaRef ds:uri="http://schemas.microsoft.com/office/infopath/2007/PartnerControls"/>
    <ds:schemaRef ds:uri="3abc9395-e2eb-47d3-a941-2b1dc42207fc"/>
    <ds:schemaRef ds:uri="75b13d30-2fa9-46d5-9925-ce502a8bfb17"/>
  </ds:schemaRefs>
</ds:datastoreItem>
</file>

<file path=customXml/itemProps4.xml><?xml version="1.0" encoding="utf-8"?>
<ds:datastoreItem xmlns:ds="http://schemas.openxmlformats.org/officeDocument/2006/customXml" ds:itemID="{6289FB45-9BD2-44E1-81F2-621DC9F2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c9395-e2eb-47d3-a941-2b1dc42207fc"/>
    <ds:schemaRef ds:uri="75b13d30-2fa9-46d5-9925-ce502a8b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1935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 Emery</dc:creator>
  <cp:keywords/>
  <dc:description/>
  <cp:lastModifiedBy>Smith, Amanda</cp:lastModifiedBy>
  <cp:revision>4</cp:revision>
  <dcterms:created xsi:type="dcterms:W3CDTF">2024-09-12T21:16:00Z</dcterms:created>
  <dcterms:modified xsi:type="dcterms:W3CDTF">2024-09-13T12:51:00Z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0x010100FEA4636E6EC7F642BAD62723572F011B</vt:lpwstr>
  </property>
</Properties>
</file>